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D1" w:rsidRDefault="009A08D1"/>
    <w:p w:rsidR="009A08D1" w:rsidRDefault="009A08D1"/>
    <w:p w:rsidR="002D7686" w:rsidRPr="00B56E62" w:rsidRDefault="002D7686" w:rsidP="002D7686">
      <w:pPr>
        <w:pStyle w:val="BasicParagraph"/>
        <w:spacing w:line="240" w:lineRule="auto"/>
        <w:jc w:val="center"/>
        <w:rPr>
          <w:rFonts w:asciiTheme="minorHAnsi" w:hAnsiTheme="minorHAnsi" w:cstheme="minorHAnsi"/>
          <w:b/>
          <w:bCs/>
          <w:color w:val="auto"/>
          <w:sz w:val="36"/>
          <w:szCs w:val="36"/>
        </w:rPr>
      </w:pPr>
      <w:r w:rsidRPr="00B56E62">
        <w:rPr>
          <w:rFonts w:asciiTheme="minorHAnsi" w:hAnsiTheme="minorHAnsi" w:cstheme="minorHAnsi"/>
          <w:b/>
          <w:bCs/>
          <w:color w:val="auto"/>
          <w:sz w:val="36"/>
          <w:szCs w:val="36"/>
        </w:rPr>
        <w:t>Telefónica I+D ofrece 35 plazas para Ingenieros Informáticos y de Telecomunicación en la 1ª edición del TID Campus</w:t>
      </w:r>
    </w:p>
    <w:p w:rsidR="002D7686" w:rsidRPr="00B56E62" w:rsidRDefault="002D7686" w:rsidP="002D7686">
      <w:pPr>
        <w:pStyle w:val="BasicParagraph"/>
        <w:spacing w:line="240" w:lineRule="auto"/>
        <w:jc w:val="both"/>
        <w:rPr>
          <w:rFonts w:asciiTheme="minorHAnsi" w:hAnsiTheme="minorHAnsi" w:cstheme="minorHAnsi"/>
          <w:b/>
          <w:bCs/>
          <w:color w:val="auto"/>
        </w:rPr>
      </w:pPr>
    </w:p>
    <w:p w:rsidR="002D7686" w:rsidRPr="00B56E62" w:rsidRDefault="002D7686" w:rsidP="002D7686">
      <w:pPr>
        <w:pStyle w:val="BasicParagraph"/>
        <w:spacing w:line="240" w:lineRule="auto"/>
        <w:jc w:val="both"/>
        <w:rPr>
          <w:rFonts w:asciiTheme="minorHAnsi" w:hAnsiTheme="minorHAnsi" w:cstheme="minorHAnsi"/>
          <w:color w:val="auto"/>
        </w:rPr>
      </w:pPr>
    </w:p>
    <w:p w:rsidR="002D7686" w:rsidRPr="00B56E62" w:rsidRDefault="002D7686" w:rsidP="002D7686">
      <w:pPr>
        <w:pStyle w:val="BasicParagraph"/>
        <w:spacing w:line="240" w:lineRule="auto"/>
        <w:jc w:val="both"/>
        <w:rPr>
          <w:rFonts w:asciiTheme="minorHAnsi" w:hAnsiTheme="minorHAnsi" w:cstheme="minorHAnsi"/>
          <w:color w:val="auto"/>
        </w:rPr>
      </w:pPr>
    </w:p>
    <w:p w:rsidR="002D7686" w:rsidRPr="00B56E62" w:rsidRDefault="002D7686" w:rsidP="002D7686">
      <w:pPr>
        <w:spacing w:after="0" w:line="240" w:lineRule="auto"/>
        <w:ind w:right="-149"/>
        <w:jc w:val="both"/>
        <w:rPr>
          <w:rFonts w:ascii="Calibri" w:eastAsia="Calibri" w:hAnsi="Calibri" w:cs="Calibri"/>
          <w:sz w:val="24"/>
          <w:szCs w:val="24"/>
        </w:rPr>
      </w:pPr>
      <w:r w:rsidRPr="00B56E62">
        <w:rPr>
          <w:rFonts w:ascii="Calibri" w:eastAsia="Calibri" w:hAnsi="Calibri" w:cs="Calibri"/>
          <w:b/>
          <w:sz w:val="24"/>
          <w:szCs w:val="24"/>
        </w:rPr>
        <w:t>Madrid, 2</w:t>
      </w:r>
      <w:r w:rsidRPr="00B56E62">
        <w:rPr>
          <w:rFonts w:cstheme="minorHAnsi"/>
          <w:b/>
          <w:sz w:val="24"/>
          <w:szCs w:val="24"/>
        </w:rPr>
        <w:t>1</w:t>
      </w:r>
      <w:r w:rsidRPr="00B56E62">
        <w:rPr>
          <w:rFonts w:ascii="Calibri" w:eastAsia="Calibri" w:hAnsi="Calibri" w:cs="Calibri"/>
          <w:b/>
          <w:sz w:val="24"/>
          <w:szCs w:val="24"/>
        </w:rPr>
        <w:t xml:space="preserve"> de </w:t>
      </w:r>
      <w:r w:rsidRPr="00B56E62">
        <w:rPr>
          <w:rFonts w:cstheme="minorHAnsi"/>
          <w:b/>
          <w:sz w:val="24"/>
          <w:szCs w:val="24"/>
        </w:rPr>
        <w:t>junio</w:t>
      </w:r>
      <w:r w:rsidRPr="00B56E62">
        <w:rPr>
          <w:rFonts w:ascii="Calibri" w:eastAsia="Calibri" w:hAnsi="Calibri" w:cs="Calibri"/>
          <w:b/>
          <w:sz w:val="24"/>
          <w:szCs w:val="24"/>
        </w:rPr>
        <w:t xml:space="preserve"> de 2013.-</w:t>
      </w:r>
      <w:r w:rsidRPr="00B56E62">
        <w:rPr>
          <w:rFonts w:ascii="Calibri" w:eastAsia="Calibri" w:hAnsi="Calibri" w:cs="Calibri"/>
          <w:sz w:val="24"/>
          <w:szCs w:val="24"/>
        </w:rPr>
        <w:t xml:space="preserve"> La Fundación Universidad-Empresa ha abierto el plazo de presentación de solicitudes para participar en la </w:t>
      </w:r>
      <w:r w:rsidRPr="00B56E62">
        <w:rPr>
          <w:rFonts w:cstheme="minorHAnsi"/>
          <w:b/>
          <w:sz w:val="24"/>
          <w:szCs w:val="24"/>
        </w:rPr>
        <w:t>primera</w:t>
      </w:r>
      <w:r w:rsidRPr="00B56E62">
        <w:rPr>
          <w:rFonts w:ascii="Calibri" w:eastAsia="Calibri" w:hAnsi="Calibri" w:cs="Calibri"/>
          <w:b/>
          <w:sz w:val="24"/>
          <w:szCs w:val="24"/>
        </w:rPr>
        <w:t xml:space="preserve"> edición de </w:t>
      </w:r>
      <w:r w:rsidRPr="00B56E62">
        <w:rPr>
          <w:rFonts w:cstheme="minorHAnsi"/>
          <w:b/>
          <w:sz w:val="24"/>
          <w:szCs w:val="24"/>
        </w:rPr>
        <w:t>TID CAMPUS</w:t>
      </w:r>
      <w:r w:rsidRPr="00B56E62">
        <w:rPr>
          <w:rFonts w:ascii="Calibri" w:eastAsia="Calibri" w:hAnsi="Calibri" w:cs="Calibri"/>
          <w:sz w:val="24"/>
          <w:szCs w:val="24"/>
        </w:rPr>
        <w:t xml:space="preserve">, </w:t>
      </w:r>
      <w:r w:rsidRPr="00B56E62">
        <w:rPr>
          <w:rFonts w:cstheme="minorHAnsi"/>
          <w:sz w:val="24"/>
          <w:szCs w:val="24"/>
        </w:rPr>
        <w:t>p</w:t>
      </w:r>
      <w:r w:rsidRPr="00B56E62">
        <w:rPr>
          <w:rFonts w:ascii="Calibri" w:eastAsia="Calibri" w:hAnsi="Calibri" w:cs="Calibri"/>
          <w:sz w:val="24"/>
          <w:szCs w:val="24"/>
        </w:rPr>
        <w:t>romovid</w:t>
      </w:r>
      <w:r w:rsidRPr="00B56E62">
        <w:rPr>
          <w:rFonts w:cstheme="minorHAnsi"/>
          <w:sz w:val="24"/>
          <w:szCs w:val="24"/>
        </w:rPr>
        <w:t>a</w:t>
      </w:r>
      <w:r w:rsidRPr="00B56E62">
        <w:rPr>
          <w:rFonts w:ascii="Calibri" w:eastAsia="Calibri" w:hAnsi="Calibri" w:cs="Calibri"/>
          <w:sz w:val="24"/>
          <w:szCs w:val="24"/>
        </w:rPr>
        <w:t xml:space="preserve"> por la compañía tecnológica líder </w:t>
      </w:r>
      <w:r w:rsidRPr="00B56E62">
        <w:rPr>
          <w:rFonts w:cstheme="minorHAnsi"/>
          <w:sz w:val="24"/>
          <w:szCs w:val="24"/>
        </w:rPr>
        <w:t>Telefónica I+D</w:t>
      </w:r>
      <w:r w:rsidRPr="00B56E62">
        <w:rPr>
          <w:rFonts w:ascii="Calibri" w:eastAsia="Calibri" w:hAnsi="Calibri" w:cs="Calibri"/>
          <w:sz w:val="24"/>
          <w:szCs w:val="24"/>
        </w:rPr>
        <w:t xml:space="preserve">, que se desarrollará </w:t>
      </w:r>
      <w:r w:rsidRPr="00B56E62">
        <w:rPr>
          <w:rFonts w:cstheme="minorHAnsi"/>
          <w:bCs/>
          <w:sz w:val="24"/>
          <w:szCs w:val="24"/>
        </w:rPr>
        <w:t xml:space="preserve">entre el 23 de septiembre y el 31 de octubre de 2013 </w:t>
      </w:r>
      <w:r w:rsidRPr="00B56E62">
        <w:rPr>
          <w:rFonts w:ascii="Calibri" w:eastAsia="Calibri" w:hAnsi="Calibri" w:cs="Calibri"/>
          <w:sz w:val="24"/>
          <w:szCs w:val="24"/>
        </w:rPr>
        <w:t xml:space="preserve">en Madrid. </w:t>
      </w:r>
    </w:p>
    <w:p w:rsidR="002D7686" w:rsidRPr="00B56E62" w:rsidRDefault="002D7686" w:rsidP="002D7686">
      <w:pPr>
        <w:pStyle w:val="BasicParagraph"/>
        <w:spacing w:line="240" w:lineRule="auto"/>
        <w:jc w:val="both"/>
        <w:rPr>
          <w:rFonts w:asciiTheme="minorHAnsi" w:hAnsiTheme="minorHAnsi" w:cstheme="minorHAnsi"/>
          <w:bCs/>
          <w:color w:val="auto"/>
        </w:rPr>
      </w:pPr>
    </w:p>
    <w:p w:rsidR="002D7686" w:rsidRPr="00B56E62" w:rsidRDefault="002D7686" w:rsidP="002D7686">
      <w:pPr>
        <w:pStyle w:val="BasicParagraph"/>
        <w:spacing w:line="240" w:lineRule="auto"/>
        <w:jc w:val="both"/>
        <w:rPr>
          <w:rFonts w:asciiTheme="minorHAnsi" w:hAnsiTheme="minorHAnsi" w:cstheme="minorHAnsi"/>
          <w:bCs/>
          <w:color w:val="auto"/>
        </w:rPr>
      </w:pPr>
      <w:r w:rsidRPr="00B56E62">
        <w:rPr>
          <w:rFonts w:asciiTheme="minorHAnsi" w:hAnsiTheme="minorHAnsi" w:cstheme="minorHAnsi"/>
          <w:bCs/>
          <w:color w:val="auto"/>
        </w:rPr>
        <w:t xml:space="preserve">Telefónica I+D busca para TID Campus a </w:t>
      </w:r>
      <w:r w:rsidRPr="00B56E62">
        <w:rPr>
          <w:rFonts w:asciiTheme="minorHAnsi" w:hAnsiTheme="minorHAnsi" w:cstheme="minorHAnsi"/>
          <w:b/>
          <w:bCs/>
          <w:color w:val="auto"/>
        </w:rPr>
        <w:t>35 recién titulados en Ingeniería Informática y de Telecomunicaciones con inglés alto</w:t>
      </w:r>
      <w:r w:rsidRPr="00B56E62">
        <w:rPr>
          <w:rFonts w:asciiTheme="minorHAnsi" w:hAnsiTheme="minorHAnsi" w:cstheme="minorHAnsi"/>
          <w:bCs/>
          <w:color w:val="auto"/>
        </w:rPr>
        <w:t xml:space="preserve">. Los candidatos deberán ser menores de 30 años, habiendo obtenido el título universitario oficial en los últimos años o estando a falta de entregar el Proyecto de Fin de Carrera. Además, al tratarse de un programa de inserción profesional es importante que no tengan experiencia profesional en el área de su titulación universitaria. </w:t>
      </w:r>
    </w:p>
    <w:p w:rsidR="002D7686" w:rsidRPr="00B56E62" w:rsidRDefault="002D7686" w:rsidP="002D7686">
      <w:pPr>
        <w:pStyle w:val="BasicParagraph"/>
        <w:spacing w:line="240" w:lineRule="auto"/>
        <w:jc w:val="both"/>
        <w:rPr>
          <w:rFonts w:asciiTheme="minorHAnsi" w:hAnsiTheme="minorHAnsi" w:cstheme="minorHAnsi"/>
          <w:bCs/>
          <w:color w:val="auto"/>
        </w:rPr>
      </w:pPr>
    </w:p>
    <w:p w:rsidR="002D7686" w:rsidRPr="00B56E62" w:rsidRDefault="002D7686" w:rsidP="002D7686">
      <w:pPr>
        <w:pStyle w:val="BasicParagraph"/>
        <w:spacing w:line="240" w:lineRule="auto"/>
        <w:jc w:val="both"/>
        <w:rPr>
          <w:rFonts w:asciiTheme="minorHAnsi" w:hAnsiTheme="minorHAnsi" w:cstheme="minorHAnsi"/>
          <w:bCs/>
          <w:color w:val="auto"/>
        </w:rPr>
      </w:pPr>
      <w:r w:rsidRPr="00B56E62">
        <w:rPr>
          <w:rFonts w:asciiTheme="minorHAnsi" w:hAnsiTheme="minorHAnsi" w:cstheme="minorHAnsi"/>
          <w:bCs/>
          <w:color w:val="auto"/>
        </w:rPr>
        <w:t xml:space="preserve">Los 35 participantes en el primer </w:t>
      </w:r>
      <w:hyperlink r:id="rId8" w:history="1">
        <w:r w:rsidRPr="00B56E62">
          <w:rPr>
            <w:rStyle w:val="Hipervnculo"/>
            <w:rFonts w:asciiTheme="minorHAnsi" w:hAnsiTheme="minorHAnsi" w:cstheme="minorHAnsi"/>
            <w:bCs/>
          </w:rPr>
          <w:t>TID Campus</w:t>
        </w:r>
      </w:hyperlink>
      <w:r w:rsidRPr="00B56E62">
        <w:rPr>
          <w:rFonts w:asciiTheme="minorHAnsi" w:hAnsiTheme="minorHAnsi" w:cstheme="minorHAnsi"/>
          <w:bCs/>
          <w:color w:val="auto"/>
        </w:rPr>
        <w:t xml:space="preserve"> recibirán 6 semanas de formación en Madrid impartida por profesionales de Telefónica I+D y docentes de la Universidad Francisco de Vitoria (UFV) en las áreas de nuevas tecnologías y habilidades empresariales, respectivamente. El Campus incluye ayudas por un total de 750 euros para cada participante.Los candidatos que superen satisfactoriamente el Campus recibirán el Título de </w:t>
      </w:r>
      <w:r w:rsidRPr="00B56E62">
        <w:rPr>
          <w:rFonts w:asciiTheme="minorHAnsi" w:hAnsiTheme="minorHAnsi" w:cstheme="minorHAnsi"/>
          <w:bCs/>
          <w:color w:val="auto"/>
          <w:lang w:val="es-ES_tradnl"/>
        </w:rPr>
        <w:t xml:space="preserve">Capacitación Tecnológica y Habilidades Profesionales de la UFV y un certificado de aprovechamiento emitido por la empresa. Además, en noviembre de 2013, se </w:t>
      </w:r>
      <w:r w:rsidRPr="00B56E62">
        <w:rPr>
          <w:rFonts w:asciiTheme="minorHAnsi" w:hAnsiTheme="minorHAnsi" w:cstheme="minorHAnsi"/>
          <w:bCs/>
          <w:color w:val="auto"/>
        </w:rPr>
        <w:t xml:space="preserve">incorporarán al </w:t>
      </w:r>
      <w:r w:rsidRPr="00B56E62">
        <w:rPr>
          <w:rFonts w:asciiTheme="minorHAnsi" w:hAnsiTheme="minorHAnsi" w:cstheme="minorHAnsi"/>
          <w:bCs/>
          <w:i/>
          <w:color w:val="auto"/>
        </w:rPr>
        <w:t xml:space="preserve">Master GAIA in Professional Development </w:t>
      </w:r>
      <w:r w:rsidRPr="00B56E62">
        <w:rPr>
          <w:rFonts w:asciiTheme="minorHAnsi" w:hAnsiTheme="minorHAnsi" w:cstheme="minorHAnsi"/>
          <w:bCs/>
          <w:color w:val="auto"/>
        </w:rPr>
        <w:t>de la Universidad de Alcalá e iniciarán un año de prácticas en las sedes que tiene la empresa en Madrid, Barcelona, Granada, Huesca y Valladolid. La dotación económica para este periodo es de 900 € brutos al mes en jornada reducida de 30 horas semanales. Los participantes contarán también con un seguro de accidentes y asistencia médica.</w:t>
      </w:r>
    </w:p>
    <w:p w:rsidR="002D7686" w:rsidRPr="00B56E62" w:rsidRDefault="002D7686" w:rsidP="002D7686">
      <w:pPr>
        <w:pStyle w:val="BasicParagraph"/>
        <w:spacing w:line="240" w:lineRule="auto"/>
        <w:jc w:val="both"/>
        <w:rPr>
          <w:rFonts w:asciiTheme="minorHAnsi" w:hAnsiTheme="minorHAnsi" w:cstheme="minorHAnsi"/>
          <w:bCs/>
          <w:color w:val="auto"/>
        </w:rPr>
      </w:pPr>
    </w:p>
    <w:p w:rsidR="002D7686" w:rsidRPr="00B56E62" w:rsidRDefault="002D7686" w:rsidP="002D7686">
      <w:pPr>
        <w:pStyle w:val="BasicParagraph"/>
        <w:spacing w:line="240" w:lineRule="auto"/>
        <w:ind w:right="-2"/>
        <w:jc w:val="both"/>
        <w:rPr>
          <w:rFonts w:asciiTheme="minorHAnsi" w:hAnsiTheme="minorHAnsi" w:cstheme="minorHAnsi"/>
          <w:bCs/>
          <w:color w:val="auto"/>
        </w:rPr>
      </w:pPr>
      <w:r w:rsidRPr="00B56E62">
        <w:rPr>
          <w:rFonts w:asciiTheme="minorHAnsi" w:hAnsiTheme="minorHAnsi" w:cstheme="minorHAnsi"/>
          <w:bCs/>
          <w:color w:val="auto"/>
        </w:rPr>
        <w:t>Las prácticas se dearrollarán en dos posibles áreas de la empresa, Global Operations and Delivery y Quality Assurance, cuyas características detallamos a continuación:</w:t>
      </w:r>
    </w:p>
    <w:p w:rsidR="002D7686" w:rsidRPr="00B56E62" w:rsidRDefault="002D7686" w:rsidP="002D7686">
      <w:pPr>
        <w:pStyle w:val="BasicParagraph"/>
        <w:spacing w:line="240" w:lineRule="auto"/>
        <w:ind w:right="-2"/>
        <w:jc w:val="both"/>
        <w:rPr>
          <w:rFonts w:asciiTheme="minorHAnsi" w:hAnsiTheme="minorHAnsi" w:cstheme="minorHAnsi"/>
          <w:bCs/>
          <w:color w:val="auto"/>
        </w:rPr>
      </w:pPr>
    </w:p>
    <w:p w:rsidR="002D7686" w:rsidRPr="00B56E62" w:rsidRDefault="002D7686" w:rsidP="002D7686">
      <w:pPr>
        <w:pStyle w:val="BasicParagraph"/>
        <w:spacing w:line="240" w:lineRule="auto"/>
        <w:ind w:right="-2"/>
        <w:jc w:val="both"/>
        <w:rPr>
          <w:rFonts w:asciiTheme="minorHAnsi" w:hAnsiTheme="minorHAnsi" w:cstheme="minorHAnsi"/>
          <w:b/>
          <w:bCs/>
          <w:color w:val="auto"/>
        </w:rPr>
      </w:pPr>
      <w:r w:rsidRPr="00B56E62">
        <w:rPr>
          <w:rFonts w:asciiTheme="minorHAnsi" w:hAnsiTheme="minorHAnsi" w:cstheme="minorHAnsi"/>
          <w:b/>
          <w:bCs/>
          <w:color w:val="auto"/>
        </w:rPr>
        <w:t>Global Operations</w:t>
      </w:r>
    </w:p>
    <w:p w:rsidR="002D7686" w:rsidRPr="00B56E62" w:rsidRDefault="002D7686" w:rsidP="002D7686">
      <w:pPr>
        <w:pStyle w:val="BasicParagraph"/>
        <w:spacing w:line="240" w:lineRule="auto"/>
        <w:ind w:right="-2"/>
        <w:jc w:val="both"/>
        <w:rPr>
          <w:rFonts w:asciiTheme="minorHAnsi" w:hAnsiTheme="minorHAnsi" w:cstheme="minorHAnsi"/>
          <w:b/>
          <w:bCs/>
          <w:color w:val="auto"/>
        </w:rPr>
      </w:pPr>
    </w:p>
    <w:p w:rsidR="002D7686" w:rsidRPr="00B56E62" w:rsidRDefault="002D7686" w:rsidP="002D7686">
      <w:pPr>
        <w:pStyle w:val="BasicParagraph"/>
        <w:spacing w:line="240" w:lineRule="auto"/>
        <w:ind w:right="-2"/>
        <w:jc w:val="both"/>
        <w:rPr>
          <w:rFonts w:asciiTheme="minorHAnsi" w:hAnsiTheme="minorHAnsi" w:cstheme="minorHAnsi"/>
          <w:bCs/>
          <w:color w:val="auto"/>
        </w:rPr>
      </w:pPr>
      <w:r w:rsidRPr="00B56E62">
        <w:rPr>
          <w:rFonts w:asciiTheme="minorHAnsi" w:hAnsiTheme="minorHAnsi" w:cstheme="minorHAnsi"/>
          <w:bCs/>
          <w:color w:val="auto"/>
        </w:rPr>
        <w:t>En este equipo multidisciplinar se gestiona todo lo relacionado con el despliegue y operación de servicios TIC: desde el ciclo de vida de un producto de software y su gestión o las infraestructuras necesarias hasta técnicas concretas de desarrollo de operaciones, como la integración contínua.</w:t>
      </w:r>
    </w:p>
    <w:p w:rsidR="002D7686" w:rsidRPr="00B56E62" w:rsidRDefault="002D7686" w:rsidP="002D7686">
      <w:pPr>
        <w:pStyle w:val="BasicParagraph"/>
        <w:spacing w:line="240" w:lineRule="auto"/>
        <w:ind w:right="-2"/>
        <w:jc w:val="both"/>
        <w:rPr>
          <w:rFonts w:asciiTheme="minorHAnsi" w:hAnsiTheme="minorHAnsi" w:cstheme="minorHAnsi"/>
          <w:bCs/>
          <w:color w:val="auto"/>
        </w:rPr>
      </w:pPr>
    </w:p>
    <w:p w:rsidR="002D7686" w:rsidRDefault="002D7686" w:rsidP="002D7686">
      <w:pPr>
        <w:pStyle w:val="BasicParagraph"/>
        <w:spacing w:line="240" w:lineRule="auto"/>
        <w:ind w:right="-2"/>
        <w:jc w:val="both"/>
        <w:rPr>
          <w:rFonts w:asciiTheme="minorHAnsi" w:hAnsiTheme="minorHAnsi" w:cstheme="minorHAnsi"/>
          <w:bCs/>
          <w:color w:val="auto"/>
        </w:rPr>
      </w:pPr>
    </w:p>
    <w:p w:rsidR="002D7686" w:rsidRDefault="002D7686" w:rsidP="002D7686">
      <w:pPr>
        <w:pStyle w:val="BasicParagraph"/>
        <w:spacing w:line="240" w:lineRule="auto"/>
        <w:ind w:right="-2"/>
        <w:jc w:val="both"/>
        <w:rPr>
          <w:rFonts w:asciiTheme="minorHAnsi" w:hAnsiTheme="minorHAnsi" w:cstheme="minorHAnsi"/>
          <w:bCs/>
          <w:color w:val="auto"/>
        </w:rPr>
      </w:pPr>
    </w:p>
    <w:p w:rsidR="002D7686" w:rsidRDefault="002D7686" w:rsidP="002D7686">
      <w:pPr>
        <w:pStyle w:val="BasicParagraph"/>
        <w:spacing w:line="240" w:lineRule="auto"/>
        <w:ind w:right="-2"/>
        <w:jc w:val="both"/>
        <w:rPr>
          <w:rFonts w:asciiTheme="minorHAnsi" w:hAnsiTheme="minorHAnsi" w:cstheme="minorHAnsi"/>
          <w:bCs/>
          <w:color w:val="auto"/>
        </w:rPr>
      </w:pPr>
    </w:p>
    <w:p w:rsidR="002D7686" w:rsidRPr="00B56E62" w:rsidRDefault="002D7686" w:rsidP="002D7686">
      <w:pPr>
        <w:pStyle w:val="BasicParagraph"/>
        <w:spacing w:line="240" w:lineRule="auto"/>
        <w:ind w:right="-2"/>
        <w:jc w:val="both"/>
        <w:rPr>
          <w:rFonts w:asciiTheme="minorHAnsi" w:hAnsiTheme="minorHAnsi" w:cstheme="minorHAnsi"/>
          <w:i/>
          <w:iCs/>
        </w:rPr>
      </w:pPr>
      <w:r w:rsidRPr="00B56E62">
        <w:rPr>
          <w:rFonts w:asciiTheme="minorHAnsi" w:hAnsiTheme="minorHAnsi" w:cstheme="minorHAnsi"/>
          <w:bCs/>
          <w:color w:val="auto"/>
        </w:rPr>
        <w:t>Se valorará h</w:t>
      </w:r>
      <w:r w:rsidRPr="00B56E62">
        <w:rPr>
          <w:rFonts w:asciiTheme="minorHAnsi" w:hAnsiTheme="minorHAnsi" w:cstheme="minorHAnsi"/>
        </w:rPr>
        <w:t xml:space="preserve">aber realizado prácticas como estudiante en las áreas de operación y soporte, </w:t>
      </w:r>
      <w:r w:rsidRPr="00B56E62">
        <w:rPr>
          <w:rFonts w:asciiTheme="minorHAnsi" w:hAnsiTheme="minorHAnsi" w:cstheme="minorHAnsi"/>
          <w:i/>
          <w:iCs/>
        </w:rPr>
        <w:t>release management, opensource</w:t>
      </w:r>
      <w:r w:rsidRPr="00B56E62">
        <w:rPr>
          <w:rFonts w:asciiTheme="minorHAnsi" w:hAnsiTheme="minorHAnsi" w:cstheme="minorHAnsi"/>
        </w:rPr>
        <w:t xml:space="preserve"> o proyectos propios; así como </w:t>
      </w:r>
      <w:r w:rsidRPr="00B56E62">
        <w:rPr>
          <w:rFonts w:asciiTheme="minorHAnsi" w:hAnsiTheme="minorHAnsi" w:cstheme="minorHAnsi"/>
          <w:bCs/>
          <w:color w:val="auto"/>
        </w:rPr>
        <w:t>conocimientos en: a</w:t>
      </w:r>
      <w:r w:rsidRPr="00B56E62">
        <w:rPr>
          <w:rFonts w:asciiTheme="minorHAnsi" w:hAnsiTheme="minorHAnsi" w:cstheme="minorHAnsi"/>
        </w:rPr>
        <w:t>dministración de sistemas Linux, arquitectura software y de servicios, redes y equipos de comunicaciones</w:t>
      </w:r>
      <w:r w:rsidRPr="00B56E62">
        <w:rPr>
          <w:rFonts w:asciiTheme="minorHAnsi" w:hAnsiTheme="minorHAnsi" w:cstheme="minorHAnsi"/>
          <w:color w:val="0A5374"/>
          <w:lang w:val="es-ES_tradnl"/>
        </w:rPr>
        <w:t xml:space="preserve">, </w:t>
      </w:r>
      <w:r w:rsidRPr="00B56E62">
        <w:rPr>
          <w:rFonts w:asciiTheme="minorHAnsi" w:hAnsiTheme="minorHAnsi" w:cstheme="minorHAnsi"/>
          <w:i/>
          <w:iCs/>
        </w:rPr>
        <w:t>scripting</w:t>
      </w:r>
      <w:r w:rsidRPr="00B56E62">
        <w:rPr>
          <w:rFonts w:asciiTheme="minorHAnsi" w:hAnsiTheme="minorHAnsi" w:cstheme="minorHAnsi"/>
        </w:rPr>
        <w:t xml:space="preserve"> y automatización, virtualización, bases de datos, control de versiones, </w:t>
      </w:r>
      <w:r w:rsidRPr="00B56E62">
        <w:rPr>
          <w:rFonts w:asciiTheme="minorHAnsi" w:hAnsiTheme="minorHAnsi" w:cstheme="minorHAnsi"/>
          <w:i/>
          <w:iCs/>
        </w:rPr>
        <w:t>continuous integration.</w:t>
      </w:r>
    </w:p>
    <w:p w:rsidR="002D7686" w:rsidRPr="00B56E62" w:rsidRDefault="002D7686" w:rsidP="002D7686">
      <w:pPr>
        <w:pStyle w:val="BasicParagraph"/>
        <w:spacing w:line="240" w:lineRule="auto"/>
        <w:jc w:val="both"/>
        <w:rPr>
          <w:rFonts w:asciiTheme="minorHAnsi" w:hAnsiTheme="minorHAnsi" w:cstheme="minorHAnsi"/>
          <w:b/>
          <w:bCs/>
          <w:color w:val="auto"/>
        </w:rPr>
      </w:pPr>
    </w:p>
    <w:p w:rsidR="002D7686" w:rsidRPr="00B56E62" w:rsidRDefault="002D7686" w:rsidP="002D7686">
      <w:pPr>
        <w:pStyle w:val="BasicParagraph"/>
        <w:spacing w:line="240" w:lineRule="auto"/>
        <w:jc w:val="both"/>
        <w:rPr>
          <w:rFonts w:asciiTheme="minorHAnsi" w:hAnsiTheme="minorHAnsi" w:cstheme="minorHAnsi"/>
          <w:b/>
          <w:bCs/>
          <w:color w:val="auto"/>
        </w:rPr>
      </w:pPr>
      <w:r w:rsidRPr="00B56E62">
        <w:rPr>
          <w:rFonts w:asciiTheme="minorHAnsi" w:hAnsiTheme="minorHAnsi" w:cstheme="minorHAnsi"/>
          <w:b/>
          <w:bCs/>
          <w:color w:val="auto"/>
        </w:rPr>
        <w:t>Quality Assurance</w:t>
      </w:r>
    </w:p>
    <w:p w:rsidR="002D7686" w:rsidRPr="00B56E62" w:rsidRDefault="002D7686" w:rsidP="002D7686">
      <w:pPr>
        <w:pStyle w:val="BasicParagraph"/>
        <w:spacing w:line="240" w:lineRule="auto"/>
        <w:jc w:val="both"/>
        <w:rPr>
          <w:rFonts w:asciiTheme="minorHAnsi" w:hAnsiTheme="minorHAnsi" w:cstheme="minorHAnsi"/>
          <w:b/>
          <w:bCs/>
          <w:color w:val="auto"/>
        </w:rPr>
      </w:pPr>
    </w:p>
    <w:p w:rsidR="002D7686" w:rsidRPr="00B56E62" w:rsidRDefault="002D7686" w:rsidP="002D7686">
      <w:pPr>
        <w:pStyle w:val="BasicParagraph"/>
        <w:spacing w:line="240" w:lineRule="auto"/>
        <w:ind w:right="-143"/>
        <w:jc w:val="both"/>
        <w:rPr>
          <w:rFonts w:asciiTheme="minorHAnsi" w:hAnsiTheme="minorHAnsi" w:cstheme="minorHAnsi"/>
          <w:i/>
          <w:iCs/>
        </w:rPr>
      </w:pPr>
      <w:r w:rsidRPr="00B56E62">
        <w:rPr>
          <w:rFonts w:asciiTheme="minorHAnsi" w:hAnsiTheme="minorHAnsi" w:cstheme="minorHAnsi"/>
          <w:bCs/>
          <w:color w:val="auto"/>
        </w:rPr>
        <w:t xml:space="preserve">Este departamento es vital para garantizar la calidad de los productos de Telefónica Digital. Sus miembros lo saben todo sobre el proceso de desarrollo y las herramientas técnicas y de </w:t>
      </w:r>
      <w:r w:rsidRPr="00B56E62">
        <w:rPr>
          <w:rFonts w:asciiTheme="minorHAnsi" w:hAnsiTheme="minorHAnsi" w:cstheme="minorHAnsi"/>
          <w:bCs/>
          <w:i/>
          <w:color w:val="auto"/>
        </w:rPr>
        <w:t>reporting</w:t>
      </w:r>
      <w:r w:rsidRPr="00B56E62">
        <w:rPr>
          <w:rFonts w:asciiTheme="minorHAnsi" w:hAnsiTheme="minorHAnsi" w:cstheme="minorHAnsi"/>
          <w:bCs/>
          <w:color w:val="auto"/>
        </w:rPr>
        <w:t xml:space="preserve"> que conforman el día a día de un ingeniero QA. Para entrar en este equipo se valoran especialmente conocimientos en: h</w:t>
      </w:r>
      <w:r w:rsidRPr="00B56E62">
        <w:rPr>
          <w:rFonts w:asciiTheme="minorHAnsi" w:hAnsiTheme="minorHAnsi" w:cstheme="minorHAnsi"/>
        </w:rPr>
        <w:t xml:space="preserve">erramientas de automatización y gestión de tests (Jmeter, Jenkins/Hudson, SoapUI, Jira), protocolos y standards (REST, SOAP, JSON, XML, XML schemas, HTTP, HTTPS, 2-way SSL and OAuth), y </w:t>
      </w:r>
      <w:r w:rsidRPr="00B56E62">
        <w:rPr>
          <w:rFonts w:asciiTheme="minorHAnsi" w:hAnsiTheme="minorHAnsi" w:cstheme="minorHAnsi"/>
          <w:i/>
          <w:iCs/>
        </w:rPr>
        <w:t>agile methodology y Scrum.</w:t>
      </w:r>
    </w:p>
    <w:p w:rsidR="002D7686" w:rsidRDefault="002D7686" w:rsidP="002D7686">
      <w:pPr>
        <w:pStyle w:val="BasicParagraph"/>
        <w:spacing w:line="240" w:lineRule="auto"/>
        <w:ind w:right="-143"/>
        <w:jc w:val="both"/>
        <w:rPr>
          <w:rFonts w:asciiTheme="minorHAnsi" w:hAnsiTheme="minorHAnsi" w:cstheme="minorHAnsi"/>
          <w:lang w:val="es-ES_tradnl"/>
        </w:rPr>
      </w:pPr>
    </w:p>
    <w:p w:rsidR="002D7686" w:rsidRDefault="002D7686" w:rsidP="002D7686">
      <w:pPr>
        <w:pStyle w:val="BasicParagraph"/>
        <w:spacing w:line="240" w:lineRule="auto"/>
        <w:ind w:right="-143"/>
        <w:jc w:val="both"/>
        <w:rPr>
          <w:rFonts w:asciiTheme="minorHAnsi" w:hAnsiTheme="minorHAnsi" w:cstheme="minorHAnsi"/>
          <w:b/>
          <w:bCs/>
          <w:lang w:val="es-ES_tradnl"/>
        </w:rPr>
      </w:pPr>
      <w:r w:rsidRPr="00B56E62">
        <w:rPr>
          <w:rFonts w:asciiTheme="minorHAnsi" w:hAnsiTheme="minorHAnsi" w:cstheme="minorHAnsi"/>
          <w:lang w:val="es-ES_tradnl"/>
        </w:rPr>
        <w:t xml:space="preserve">Los candidatos interesados en participar en TID Campus deberán </w:t>
      </w:r>
      <w:r w:rsidR="00B52B33">
        <w:rPr>
          <w:rFonts w:asciiTheme="minorHAnsi" w:hAnsiTheme="minorHAnsi" w:cstheme="minorHAnsi"/>
          <w:lang w:val="es-ES_tradnl"/>
        </w:rPr>
        <w:t xml:space="preserve">registrarse en </w:t>
      </w:r>
      <w:hyperlink r:id="rId9" w:history="1">
        <w:r w:rsidR="000A22DF" w:rsidRPr="00BE508E">
          <w:rPr>
            <w:rStyle w:val="Hipervnculo"/>
            <w:rFonts w:asciiTheme="minorHAnsi" w:hAnsiTheme="minorHAnsi" w:cstheme="minorHAnsi"/>
            <w:lang w:val="es-ES_tradnl"/>
          </w:rPr>
          <w:t>www.fue.es/tid</w:t>
        </w:r>
        <w:r w:rsidR="000A22DF" w:rsidRPr="00BE508E">
          <w:rPr>
            <w:rStyle w:val="Hipervnculo"/>
            <w:rFonts w:asciiTheme="minorHAnsi" w:hAnsiTheme="minorHAnsi" w:cstheme="minorHAnsi"/>
            <w:lang w:val="es-ES_tradnl"/>
          </w:rPr>
          <w:t>c</w:t>
        </w:r>
        <w:r w:rsidR="000A22DF" w:rsidRPr="00BE508E">
          <w:rPr>
            <w:rStyle w:val="Hipervnculo"/>
            <w:rFonts w:asciiTheme="minorHAnsi" w:hAnsiTheme="minorHAnsi" w:cstheme="minorHAnsi"/>
            <w:lang w:val="es-ES_tradnl"/>
          </w:rPr>
          <w:t>ampus</w:t>
        </w:r>
      </w:hyperlink>
      <w:r w:rsidR="000A22DF">
        <w:rPr>
          <w:rFonts w:asciiTheme="minorHAnsi" w:hAnsiTheme="minorHAnsi" w:cstheme="minorHAnsi"/>
          <w:lang w:val="es-ES_tradnl"/>
        </w:rPr>
        <w:t xml:space="preserve"> </w:t>
      </w:r>
      <w:r w:rsidRPr="00B56E62">
        <w:rPr>
          <w:rFonts w:asciiTheme="minorHAnsi" w:hAnsiTheme="minorHAnsi" w:cstheme="minorHAnsi"/>
          <w:b/>
          <w:bCs/>
          <w:lang w:val="es-ES_tradnl"/>
        </w:rPr>
        <w:t>antes del 15 de julio de 2013.</w:t>
      </w:r>
    </w:p>
    <w:p w:rsidR="00B52B33" w:rsidRPr="00B56E62" w:rsidRDefault="00B52B33" w:rsidP="002D7686">
      <w:pPr>
        <w:pStyle w:val="BasicParagraph"/>
        <w:spacing w:line="240" w:lineRule="auto"/>
        <w:ind w:right="-143"/>
        <w:jc w:val="both"/>
        <w:rPr>
          <w:rFonts w:asciiTheme="minorHAnsi" w:hAnsiTheme="minorHAnsi" w:cstheme="minorHAnsi"/>
          <w:b/>
          <w:bCs/>
          <w:lang w:val="es-ES_tradnl"/>
        </w:rPr>
      </w:pPr>
    </w:p>
    <w:p w:rsidR="001B5721" w:rsidRDefault="001B5721" w:rsidP="002D7686">
      <w:pPr>
        <w:pStyle w:val="BasicParagraph"/>
        <w:spacing w:line="240" w:lineRule="auto"/>
        <w:jc w:val="center"/>
        <w:rPr>
          <w:rFonts w:asciiTheme="minorHAnsi" w:hAnsiTheme="minorHAnsi" w:cstheme="minorHAnsi"/>
          <w:i/>
          <w:iCs/>
          <w:lang w:val="es-ES_tradnl"/>
        </w:rPr>
      </w:pPr>
    </w:p>
    <w:p w:rsidR="00B52B33" w:rsidRPr="00FF4941" w:rsidRDefault="00B52B33" w:rsidP="00B52B33">
      <w:pPr>
        <w:jc w:val="center"/>
        <w:rPr>
          <w:rFonts w:ascii="Calibri" w:hAnsi="Calibri" w:cs="Calibri"/>
          <w:i/>
        </w:rPr>
      </w:pPr>
      <w:r w:rsidRPr="00FF4941">
        <w:rPr>
          <w:rFonts w:ascii="Calibri" w:hAnsi="Calibri" w:cs="Calibri"/>
          <w:i/>
        </w:rPr>
        <w:t>Para más información:</w:t>
      </w:r>
    </w:p>
    <w:p w:rsidR="00B52B33" w:rsidRPr="00FF4941" w:rsidRDefault="00B52B33" w:rsidP="00B52B33">
      <w:pPr>
        <w:jc w:val="center"/>
        <w:rPr>
          <w:rFonts w:ascii="Calibri" w:hAnsi="Calibri" w:cs="Calibri"/>
          <w:bCs/>
          <w:color w:val="000000"/>
          <w:lang w:eastAsia="es-ES"/>
        </w:rPr>
      </w:pPr>
      <w:r w:rsidRPr="00FF4941">
        <w:rPr>
          <w:rFonts w:ascii="Calibri" w:hAnsi="Calibri" w:cs="Calibri"/>
        </w:rPr>
        <w:t>Mar</w:t>
      </w:r>
      <w:r>
        <w:rPr>
          <w:rFonts w:ascii="Calibri" w:hAnsi="Calibri" w:cs="Calibri"/>
        </w:rPr>
        <w:t>ía Miranda</w:t>
      </w:r>
      <w:r w:rsidRPr="00FF4941">
        <w:rPr>
          <w:rFonts w:ascii="Calibri" w:hAnsi="Calibri" w:cs="Calibri"/>
        </w:rPr>
        <w:t xml:space="preserve"> – 91 </w:t>
      </w:r>
      <w:r>
        <w:rPr>
          <w:rFonts w:ascii="Calibri" w:hAnsi="Calibri" w:cs="Calibri"/>
        </w:rPr>
        <w:t>758 44 76</w:t>
      </w:r>
      <w:r w:rsidRPr="00FF4941">
        <w:rPr>
          <w:rFonts w:ascii="Calibri" w:hAnsi="Calibri" w:cs="Calibri"/>
        </w:rPr>
        <w:t xml:space="preserve"> </w:t>
      </w:r>
      <w:r>
        <w:rPr>
          <w:rFonts w:ascii="Calibri" w:hAnsi="Calibri" w:cs="Calibri"/>
        </w:rPr>
        <w:t>–</w:t>
      </w:r>
      <w:r w:rsidRPr="00FF4941">
        <w:rPr>
          <w:rFonts w:ascii="Calibri" w:hAnsi="Calibri" w:cs="Calibri"/>
        </w:rPr>
        <w:t xml:space="preserve"> </w:t>
      </w:r>
      <w:hyperlink r:id="rId10" w:history="1">
        <w:r w:rsidRPr="00222C90">
          <w:rPr>
            <w:rStyle w:val="Hipervnculo"/>
            <w:rFonts w:ascii="Calibri" w:hAnsi="Calibri" w:cs="Calibri"/>
          </w:rPr>
          <w:t>tidcampus@fue.es</w:t>
        </w:r>
      </w:hyperlink>
    </w:p>
    <w:p w:rsidR="00B52B33" w:rsidRPr="00B52B33" w:rsidRDefault="00B52B33" w:rsidP="002D7686">
      <w:pPr>
        <w:pStyle w:val="BasicParagraph"/>
        <w:spacing w:line="240" w:lineRule="auto"/>
        <w:jc w:val="center"/>
        <w:rPr>
          <w:rFonts w:asciiTheme="minorHAnsi" w:hAnsiTheme="minorHAnsi" w:cstheme="minorHAnsi"/>
          <w:i/>
          <w:iCs/>
        </w:rPr>
      </w:pPr>
    </w:p>
    <w:sectPr w:rsidR="00B52B33" w:rsidRPr="00B52B33" w:rsidSect="002D768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143" w:rsidRDefault="007E3143" w:rsidP="009A08D1">
      <w:pPr>
        <w:spacing w:after="0" w:line="240" w:lineRule="auto"/>
      </w:pPr>
      <w:r>
        <w:separator/>
      </w:r>
    </w:p>
  </w:endnote>
  <w:endnote w:type="continuationSeparator" w:id="1">
    <w:p w:rsidR="007E3143" w:rsidRDefault="007E3143" w:rsidP="009A0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D1" w:rsidRDefault="009A08D1">
    <w:pPr>
      <w:pStyle w:val="Piedepgina"/>
    </w:pPr>
  </w:p>
  <w:p w:rsidR="009A08D1" w:rsidRDefault="009A08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143" w:rsidRDefault="007E3143" w:rsidP="009A08D1">
      <w:pPr>
        <w:spacing w:after="0" w:line="240" w:lineRule="auto"/>
      </w:pPr>
      <w:r>
        <w:separator/>
      </w:r>
    </w:p>
  </w:footnote>
  <w:footnote w:type="continuationSeparator" w:id="1">
    <w:p w:rsidR="007E3143" w:rsidRDefault="007E3143" w:rsidP="009A0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D1" w:rsidRPr="009A08D1" w:rsidRDefault="009A08D1" w:rsidP="009A08D1">
    <w:pPr>
      <w:pStyle w:val="Encabezado"/>
      <w:jc w:val="right"/>
    </w:pPr>
    <w:r w:rsidRPr="009A08D1">
      <w:rPr>
        <w:noProof/>
        <w:lang w:eastAsia="es-ES"/>
      </w:rPr>
      <w:drawing>
        <wp:inline distT="0" distB="0" distL="0" distR="0">
          <wp:extent cx="1299884" cy="685727"/>
          <wp:effectExtent l="19050" t="0" r="0" b="0"/>
          <wp:docPr id="6" name="Imagen 1" descr="\\pluton\FUE\AREAEMPRESA\ANALISIS EMPRESAS\TELEFONICA I+D\TID CAMPUS\logo TID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ton\FUE\AREAEMPRESA\ANALISIS EMPRESAS\TELEFONICA I+D\TID CAMPUS\logo TID_jpg.jpg"/>
                  <pic:cNvPicPr>
                    <a:picLocks noChangeAspect="1" noChangeArrowheads="1"/>
                  </pic:cNvPicPr>
                </pic:nvPicPr>
                <pic:blipFill>
                  <a:blip r:embed="rId1"/>
                  <a:srcRect/>
                  <a:stretch>
                    <a:fillRect/>
                  </a:stretch>
                </pic:blipFill>
                <pic:spPr bwMode="auto">
                  <a:xfrm>
                    <a:off x="0" y="0"/>
                    <a:ext cx="1300460" cy="686031"/>
                  </a:xfrm>
                  <a:prstGeom prst="rect">
                    <a:avLst/>
                  </a:prstGeom>
                  <a:noFill/>
                  <a:ln w="9525">
                    <a:noFill/>
                    <a:miter lim="800000"/>
                    <a:headEnd/>
                    <a:tailEnd/>
                  </a:ln>
                </pic:spPr>
              </pic:pic>
            </a:graphicData>
          </a:graphic>
        </wp:inline>
      </w:drawing>
    </w:r>
    <w:r>
      <w:t xml:space="preserve">                                                               </w:t>
    </w:r>
    <w:r w:rsidRPr="009A08D1">
      <w:rPr>
        <w:noProof/>
        <w:lang w:eastAsia="es-ES"/>
      </w:rPr>
      <w:drawing>
        <wp:inline distT="0" distB="0" distL="0" distR="0">
          <wp:extent cx="1828800" cy="531495"/>
          <wp:effectExtent l="19050" t="0" r="0" b="0"/>
          <wp:docPr id="10" name="Imagen 3" descr="logo-fu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fue-small"/>
                  <pic:cNvPicPr>
                    <a:picLocks noChangeAspect="1" noChangeArrowheads="1"/>
                  </pic:cNvPicPr>
                </pic:nvPicPr>
                <pic:blipFill>
                  <a:blip r:embed="rId2"/>
                  <a:srcRect/>
                  <a:stretch>
                    <a:fillRect/>
                  </a:stretch>
                </pic:blipFill>
                <pic:spPr bwMode="auto">
                  <a:xfrm>
                    <a:off x="0" y="0"/>
                    <a:ext cx="1828800" cy="5314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24369"/>
    <w:multiLevelType w:val="hybridMultilevel"/>
    <w:tmpl w:val="94FC040A"/>
    <w:lvl w:ilvl="0" w:tplc="E6504ADA">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F818E2"/>
    <w:multiLevelType w:val="hybridMultilevel"/>
    <w:tmpl w:val="56101700"/>
    <w:lvl w:ilvl="0" w:tplc="E6504ADA">
      <w:start w:val="1"/>
      <w:numFmt w:val="bullet"/>
      <w:lvlText w:val="-"/>
      <w:lvlJc w:val="left"/>
      <w:pPr>
        <w:ind w:left="435" w:hanging="360"/>
      </w:pPr>
      <w:rPr>
        <w:rFonts w:ascii="Tahoma" w:hAnsi="Tahoma"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
    <w:nsid w:val="355A028E"/>
    <w:multiLevelType w:val="hybridMultilevel"/>
    <w:tmpl w:val="8520C23C"/>
    <w:lvl w:ilvl="0" w:tplc="E6504ADA">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5E60513"/>
    <w:multiLevelType w:val="hybridMultilevel"/>
    <w:tmpl w:val="CD164F3E"/>
    <w:lvl w:ilvl="0" w:tplc="E6504ADA">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9D91935"/>
    <w:multiLevelType w:val="hybridMultilevel"/>
    <w:tmpl w:val="98BA88C0"/>
    <w:lvl w:ilvl="0" w:tplc="E6504ADA">
      <w:start w:val="1"/>
      <w:numFmt w:val="bullet"/>
      <w:lvlText w:val="-"/>
      <w:lvlJc w:val="left"/>
      <w:pPr>
        <w:ind w:left="507" w:hanging="360"/>
      </w:pPr>
      <w:rPr>
        <w:rFonts w:ascii="Tahoma" w:hAnsi="Tahoma" w:hint="default"/>
      </w:rPr>
    </w:lvl>
    <w:lvl w:ilvl="1" w:tplc="0C0A0003" w:tentative="1">
      <w:start w:val="1"/>
      <w:numFmt w:val="bullet"/>
      <w:lvlText w:val="o"/>
      <w:lvlJc w:val="left"/>
      <w:pPr>
        <w:ind w:left="1227" w:hanging="360"/>
      </w:pPr>
      <w:rPr>
        <w:rFonts w:ascii="Courier New" w:hAnsi="Courier New" w:cs="Courier New" w:hint="default"/>
      </w:rPr>
    </w:lvl>
    <w:lvl w:ilvl="2" w:tplc="0C0A0005" w:tentative="1">
      <w:start w:val="1"/>
      <w:numFmt w:val="bullet"/>
      <w:lvlText w:val=""/>
      <w:lvlJc w:val="left"/>
      <w:pPr>
        <w:ind w:left="1947" w:hanging="360"/>
      </w:pPr>
      <w:rPr>
        <w:rFonts w:ascii="Wingdings" w:hAnsi="Wingdings" w:hint="default"/>
      </w:rPr>
    </w:lvl>
    <w:lvl w:ilvl="3" w:tplc="0C0A0001" w:tentative="1">
      <w:start w:val="1"/>
      <w:numFmt w:val="bullet"/>
      <w:lvlText w:val=""/>
      <w:lvlJc w:val="left"/>
      <w:pPr>
        <w:ind w:left="2667" w:hanging="360"/>
      </w:pPr>
      <w:rPr>
        <w:rFonts w:ascii="Symbol" w:hAnsi="Symbol" w:hint="default"/>
      </w:rPr>
    </w:lvl>
    <w:lvl w:ilvl="4" w:tplc="0C0A0003" w:tentative="1">
      <w:start w:val="1"/>
      <w:numFmt w:val="bullet"/>
      <w:lvlText w:val="o"/>
      <w:lvlJc w:val="left"/>
      <w:pPr>
        <w:ind w:left="3387" w:hanging="360"/>
      </w:pPr>
      <w:rPr>
        <w:rFonts w:ascii="Courier New" w:hAnsi="Courier New" w:cs="Courier New" w:hint="default"/>
      </w:rPr>
    </w:lvl>
    <w:lvl w:ilvl="5" w:tplc="0C0A0005" w:tentative="1">
      <w:start w:val="1"/>
      <w:numFmt w:val="bullet"/>
      <w:lvlText w:val=""/>
      <w:lvlJc w:val="left"/>
      <w:pPr>
        <w:ind w:left="4107" w:hanging="360"/>
      </w:pPr>
      <w:rPr>
        <w:rFonts w:ascii="Wingdings" w:hAnsi="Wingdings" w:hint="default"/>
      </w:rPr>
    </w:lvl>
    <w:lvl w:ilvl="6" w:tplc="0C0A0001" w:tentative="1">
      <w:start w:val="1"/>
      <w:numFmt w:val="bullet"/>
      <w:lvlText w:val=""/>
      <w:lvlJc w:val="left"/>
      <w:pPr>
        <w:ind w:left="4827" w:hanging="360"/>
      </w:pPr>
      <w:rPr>
        <w:rFonts w:ascii="Symbol" w:hAnsi="Symbol" w:hint="default"/>
      </w:rPr>
    </w:lvl>
    <w:lvl w:ilvl="7" w:tplc="0C0A0003" w:tentative="1">
      <w:start w:val="1"/>
      <w:numFmt w:val="bullet"/>
      <w:lvlText w:val="o"/>
      <w:lvlJc w:val="left"/>
      <w:pPr>
        <w:ind w:left="5547" w:hanging="360"/>
      </w:pPr>
      <w:rPr>
        <w:rFonts w:ascii="Courier New" w:hAnsi="Courier New" w:cs="Courier New" w:hint="default"/>
      </w:rPr>
    </w:lvl>
    <w:lvl w:ilvl="8" w:tplc="0C0A0005" w:tentative="1">
      <w:start w:val="1"/>
      <w:numFmt w:val="bullet"/>
      <w:lvlText w:val=""/>
      <w:lvlJc w:val="left"/>
      <w:pPr>
        <w:ind w:left="6267" w:hanging="360"/>
      </w:pPr>
      <w:rPr>
        <w:rFonts w:ascii="Wingdings" w:hAnsi="Wingdings" w:hint="default"/>
      </w:rPr>
    </w:lvl>
  </w:abstractNum>
  <w:abstractNum w:abstractNumId="5">
    <w:nsid w:val="673D4A95"/>
    <w:multiLevelType w:val="hybridMultilevel"/>
    <w:tmpl w:val="DBD4FCF0"/>
    <w:lvl w:ilvl="0" w:tplc="E6504ADA">
      <w:start w:val="1"/>
      <w:numFmt w:val="bullet"/>
      <w:lvlText w:val="-"/>
      <w:lvlJc w:val="left"/>
      <w:pPr>
        <w:ind w:left="294" w:hanging="360"/>
      </w:pPr>
      <w:rPr>
        <w:rFonts w:ascii="Tahoma" w:hAnsi="Tahoma"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9A08D1"/>
    <w:rsid w:val="0000427B"/>
    <w:rsid w:val="000A22DF"/>
    <w:rsid w:val="000D6804"/>
    <w:rsid w:val="001B5721"/>
    <w:rsid w:val="001C6573"/>
    <w:rsid w:val="001D2392"/>
    <w:rsid w:val="00237C46"/>
    <w:rsid w:val="002D7686"/>
    <w:rsid w:val="00300801"/>
    <w:rsid w:val="003B3112"/>
    <w:rsid w:val="004A71D0"/>
    <w:rsid w:val="004F24F2"/>
    <w:rsid w:val="00554E2B"/>
    <w:rsid w:val="00571A54"/>
    <w:rsid w:val="0065041F"/>
    <w:rsid w:val="006B1B0A"/>
    <w:rsid w:val="007A670C"/>
    <w:rsid w:val="007E3143"/>
    <w:rsid w:val="008F6856"/>
    <w:rsid w:val="00966E4B"/>
    <w:rsid w:val="009A08D1"/>
    <w:rsid w:val="00B23231"/>
    <w:rsid w:val="00B52B33"/>
    <w:rsid w:val="00B67A06"/>
    <w:rsid w:val="00BA0EE7"/>
    <w:rsid w:val="00BB49BD"/>
    <w:rsid w:val="00BE1E60"/>
    <w:rsid w:val="00BF363C"/>
    <w:rsid w:val="00D627C5"/>
    <w:rsid w:val="00DF3D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7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A08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A08D1"/>
  </w:style>
  <w:style w:type="paragraph" w:styleId="Piedepgina">
    <w:name w:val="footer"/>
    <w:basedOn w:val="Normal"/>
    <w:link w:val="PiedepginaCar"/>
    <w:uiPriority w:val="99"/>
    <w:unhideWhenUsed/>
    <w:rsid w:val="009A08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8D1"/>
  </w:style>
  <w:style w:type="paragraph" w:styleId="Textodeglobo">
    <w:name w:val="Balloon Text"/>
    <w:basedOn w:val="Normal"/>
    <w:link w:val="TextodegloboCar"/>
    <w:uiPriority w:val="99"/>
    <w:semiHidden/>
    <w:unhideWhenUsed/>
    <w:rsid w:val="009A08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08D1"/>
    <w:rPr>
      <w:rFonts w:ascii="Tahoma" w:hAnsi="Tahoma" w:cs="Tahoma"/>
      <w:sz w:val="16"/>
      <w:szCs w:val="16"/>
    </w:rPr>
  </w:style>
  <w:style w:type="paragraph" w:customStyle="1" w:styleId="BasicParagraph">
    <w:name w:val="[Basic Paragraph]"/>
    <w:basedOn w:val="Normal"/>
    <w:uiPriority w:val="99"/>
    <w:rsid w:val="009A08D1"/>
    <w:pPr>
      <w:autoSpaceDE w:val="0"/>
      <w:autoSpaceDN w:val="0"/>
      <w:spacing w:after="0" w:line="288" w:lineRule="auto"/>
    </w:pPr>
    <w:rPr>
      <w:rFonts w:ascii="Minion Pro" w:hAnsi="Minion Pro" w:cs="Times New Roman"/>
      <w:color w:val="000000"/>
      <w:sz w:val="24"/>
      <w:szCs w:val="24"/>
      <w:lang w:eastAsia="es-ES"/>
    </w:rPr>
  </w:style>
  <w:style w:type="character" w:styleId="Hipervnculo">
    <w:name w:val="Hyperlink"/>
    <w:basedOn w:val="Fuentedeprrafopredeter"/>
    <w:uiPriority w:val="99"/>
    <w:unhideWhenUsed/>
    <w:rsid w:val="001B5721"/>
    <w:rPr>
      <w:color w:val="0000FF"/>
      <w:u w:val="single"/>
    </w:rPr>
  </w:style>
  <w:style w:type="character" w:styleId="Hipervnculovisitado">
    <w:name w:val="FollowedHyperlink"/>
    <w:basedOn w:val="Fuentedeprrafopredeter"/>
    <w:uiPriority w:val="99"/>
    <w:semiHidden/>
    <w:unhideWhenUsed/>
    <w:rsid w:val="000A22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8051997">
      <w:bodyDiv w:val="1"/>
      <w:marLeft w:val="0"/>
      <w:marRight w:val="0"/>
      <w:marTop w:val="0"/>
      <w:marBottom w:val="0"/>
      <w:divBdr>
        <w:top w:val="none" w:sz="0" w:space="0" w:color="auto"/>
        <w:left w:val="none" w:sz="0" w:space="0" w:color="auto"/>
        <w:bottom w:val="none" w:sz="0" w:space="0" w:color="auto"/>
        <w:right w:val="none" w:sz="0" w:space="0" w:color="auto"/>
      </w:divBdr>
    </w:div>
    <w:div w:id="642664635">
      <w:bodyDiv w:val="1"/>
      <w:marLeft w:val="0"/>
      <w:marRight w:val="0"/>
      <w:marTop w:val="0"/>
      <w:marBottom w:val="0"/>
      <w:divBdr>
        <w:top w:val="none" w:sz="0" w:space="0" w:color="auto"/>
        <w:left w:val="none" w:sz="0" w:space="0" w:color="auto"/>
        <w:bottom w:val="none" w:sz="0" w:space="0" w:color="auto"/>
        <w:right w:val="none" w:sz="0" w:space="0" w:color="auto"/>
      </w:divBdr>
    </w:div>
    <w:div w:id="1045907621">
      <w:bodyDiv w:val="1"/>
      <w:marLeft w:val="0"/>
      <w:marRight w:val="0"/>
      <w:marTop w:val="0"/>
      <w:marBottom w:val="0"/>
      <w:divBdr>
        <w:top w:val="none" w:sz="0" w:space="0" w:color="auto"/>
        <w:left w:val="none" w:sz="0" w:space="0" w:color="auto"/>
        <w:bottom w:val="none" w:sz="0" w:space="0" w:color="auto"/>
        <w:right w:val="none" w:sz="0" w:space="0" w:color="auto"/>
      </w:divBdr>
    </w:div>
    <w:div w:id="1364671850">
      <w:bodyDiv w:val="1"/>
      <w:marLeft w:val="0"/>
      <w:marRight w:val="0"/>
      <w:marTop w:val="0"/>
      <w:marBottom w:val="0"/>
      <w:divBdr>
        <w:top w:val="none" w:sz="0" w:space="0" w:color="auto"/>
        <w:left w:val="none" w:sz="0" w:space="0" w:color="auto"/>
        <w:bottom w:val="none" w:sz="0" w:space="0" w:color="auto"/>
        <w:right w:val="none" w:sz="0" w:space="0" w:color="auto"/>
      </w:divBdr>
    </w:div>
    <w:div w:id="1429083778">
      <w:bodyDiv w:val="1"/>
      <w:marLeft w:val="0"/>
      <w:marRight w:val="0"/>
      <w:marTop w:val="0"/>
      <w:marBottom w:val="0"/>
      <w:divBdr>
        <w:top w:val="none" w:sz="0" w:space="0" w:color="auto"/>
        <w:left w:val="none" w:sz="0" w:space="0" w:color="auto"/>
        <w:bottom w:val="none" w:sz="0" w:space="0" w:color="auto"/>
        <w:right w:val="none" w:sz="0" w:space="0" w:color="auto"/>
      </w:divBdr>
    </w:div>
    <w:div w:id="1546792388">
      <w:bodyDiv w:val="1"/>
      <w:marLeft w:val="0"/>
      <w:marRight w:val="0"/>
      <w:marTop w:val="0"/>
      <w:marBottom w:val="0"/>
      <w:divBdr>
        <w:top w:val="none" w:sz="0" w:space="0" w:color="auto"/>
        <w:left w:val="none" w:sz="0" w:space="0" w:color="auto"/>
        <w:bottom w:val="none" w:sz="0" w:space="0" w:color="auto"/>
        <w:right w:val="none" w:sz="0" w:space="0" w:color="auto"/>
      </w:divBdr>
    </w:div>
    <w:div w:id="18778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e.es/tidcamp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dcampus@fue.es" TargetMode="External"/><Relationship Id="rId4" Type="http://schemas.openxmlformats.org/officeDocument/2006/relationships/settings" Target="settings.xml"/><Relationship Id="rId9" Type="http://schemas.openxmlformats.org/officeDocument/2006/relationships/hyperlink" Target="http://www.fue.es/tidcamp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AF921-A01F-485A-9AD6-D8F0C235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Miranda</dc:creator>
  <cp:lastModifiedBy>mpastor</cp:lastModifiedBy>
  <cp:revision>4</cp:revision>
  <dcterms:created xsi:type="dcterms:W3CDTF">2013-06-21T10:32:00Z</dcterms:created>
  <dcterms:modified xsi:type="dcterms:W3CDTF">2013-06-21T11:20:00Z</dcterms:modified>
</cp:coreProperties>
</file>